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001-33765</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YUEDA DIGITAL HOLDING</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7545 Irvine Center Drive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Suite 200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Irvine, CA 92618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United States</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Submission of Matters to a Vote of Security 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Yueda Digital Holding (the “Company”) held its extraordinary general meeting of shareholders (the “Extraordinary General Meeting”) on June 12, 2026 at 10:00 p.m. Eastern Standard Time at Room 7C, Floor 7, No. 1 Danling Street, Haidian District, Beijing 100080, People’s Republic of China.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2,516,363 Class A ordinary shares of the Company were present online or by proxy at the meeting, representing approximately 45.40% of the total 5,542,262 outstanding Class A ordinary shares as of the record date of May 15, 2026 and therefore constituting a quorum. The final voting results for each matter submitted to a vote of shareholders at the Extraordinary General Meeting are as follows: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Share Capital Reduction and Reorganization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shareholders approved as special resolution, subject to all requirements prescribed by sections 14, 14A and 14B of the Companies Act relating to share capital reductions being complied with (together, the “Share Capital Reduction and Reorganization”), that: (i) the par value of each issued Class A ordinary share of a nominal or par value of US$4.00 and each issued Class B ordinary share of a nominal or par value of US$4.00 in the share capital of the Company be reduced to US$0.0001 by cancelling US$3.9999 of the paid-up capital on each issued Class A ordinary share of a nominal or par value of US$4.00 and each issued Class B ordinary share of a nominal or par value of US$4.00 (the “Share Capital Reduction”); (ii) following the Share Capital Reduction, the amount deemed to be paid up on each issued share of the Company shall be US$0.0001; (iii) the credit arising from the Share Capital Reduction be transferred to a distributable reserve account of the Company which may be utilized by the Company as the Board may deem fit and as permitted under the Companies Act, the third amended and restated memorandum and articles of association of the Company currently in effect (the “Existing M&amp;A”) and all relevant applicable laws, including, without limitation, eliminating or setting off any accumulated losses of the Company (if any) from time to time; (iv) immediately following the Share Capital Reduction, (a) each authorized but unissued Class A ordinary share of a nominal or par value of US$4.00 be subdivided into 40,000 Class A ordinary shares of a nominal or par value of US$0.0001 each, and (b) each authorized but unissued Class B ordinary share of a nominal or par value of US$4.00 be subdivided into 40,000 Class B ordinary shares of a nominal or par value of US$0.0001 each (the “Share Sub-Division”); (v) immediately following the Share Sub-Division, the authorized share capital of the Company be altered by the cancellation of such number of excess authorized but unissued Class A ordinary shares of a nominal or par value of US$0.0001 each and authorized but unissued Class B ordinary shares of a nominal or par value of US$0.0001 each as will result in the Company having authorized share capital of US$1,000 divided into 9,000,000 Class A ordinary shares of a nominal or par value of US$0.0001 each and 1,000,000 Class B ordinary shares of a nominal or par value of US$0.0001 each (the “Cancellation”); and (vi) immediately following the Share Capital Reduction, the Share Sub-Division and the Cancellation, the authorized share capital of the Company shall be changed from US$40,000,000 divided into 9,000,000 Class A ordinary shares of a nominal or par value of US$4.00 each and 1,000,000 Class B ordinary shares of a nominal or par value of US$4.00 each, to US$1,000 divided into 9,000,000 Class A ordinary shares of a nominal or par value of US$0.0001 each and 1,000,000 Class B ordinary shares of a nominal or par value of US$0.0001 each.</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For</w:t>
            </w:r>
          </w:p>
        </w:tc>
        <w:tc>
          <w:tcPr>
            <w:tcW w:w="38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16"/>
        </w:trPr>
        <w:tc>
          <w:tcPr>
            <w:tcW w:w="3580" w:type="dxa"/>
            <w:vAlign w:val="bottom"/>
            <w:tcBorders>
              <w:top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2,318,093</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195,327</w:t>
            </w:r>
          </w:p>
        </w:tc>
        <w:tc>
          <w:tcPr>
            <w:tcW w:w="24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2,943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Share Capital Increase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shareholders approved, as an ordinary resolution and subject to and immediately following the Resolution 1 becoming effective, an increase of the authorized share capital of the Company (the “Share Capital Increase”) from US$1,000 divided into 9,000,000 Class A ordinary shares of a nominal or par value of US$0.0001 each and 1,000,000 Class B ordinary shares of a nominal or par value of US$0.0001 each, to US$40,000,000 divided into 360,000,000,000 Class A ordinary shares of a nominal or par value of US$0.0001 each and 40,000,000,000 Class B ordinary shares of a nominal or par value of US$0.0001 each, by the creation of (i) 359,991,000,000 Class A ordinary shares of a nominal or par value of US$0.0001 each, and (ii) 39,999,000,000 Class B ordinary shares of a nominal or par value of US$0.0001 each.</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For</w:t>
            </w:r>
          </w:p>
        </w:tc>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16"/>
        </w:trPr>
        <w:tc>
          <w:tcPr>
            <w:tcW w:w="3580" w:type="dxa"/>
            <w:vAlign w:val="bottom"/>
            <w:tcBorders>
              <w:top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2,302,533</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204,126</w:t>
            </w:r>
          </w:p>
        </w:tc>
        <w:tc>
          <w:tcPr>
            <w:tcW w:w="24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9,704</w:t>
            </w:r>
          </w:p>
        </w:tc>
      </w:tr>
      <w:tr>
        <w:trPr>
          <w:trHeight w:val="655"/>
        </w:trPr>
        <w:tc>
          <w:tcPr>
            <w:tcW w:w="3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3. Fourth Amended Memorandum and Articles of Association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shareholders approved, as a special resolution and subject to Resolutions 1 and 2 becoming effective, the adoption of the fourth amended and restated memorandum and articles of association of the Company (the “Fourth Amended M&amp;A”), in the form annexed hereto, in substitution for and to the exclusion of the Existing M&amp;A.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For</w:t>
            </w:r>
          </w:p>
        </w:tc>
        <w:tc>
          <w:tcPr>
            <w:tcW w:w="38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16"/>
        </w:trPr>
        <w:tc>
          <w:tcPr>
            <w:tcW w:w="3580" w:type="dxa"/>
            <w:vAlign w:val="bottom"/>
            <w:tcBorders>
              <w:top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2,307,910</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196,589</w:t>
            </w:r>
          </w:p>
        </w:tc>
        <w:tc>
          <w:tcPr>
            <w:tcW w:w="24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70"/>
              <w:spacing w:after="0"/>
              <w:rPr>
                <w:sz w:val="20"/>
                <w:szCs w:val="20"/>
                <w:color w:val="auto"/>
              </w:rPr>
            </w:pPr>
            <w:r>
              <w:rPr>
                <w:rFonts w:ascii="Times New Roman" w:cs="Times New Roman" w:eastAsia="Times New Roman" w:hAnsi="Times New Roman"/>
                <w:sz w:val="18"/>
                <w:szCs w:val="18"/>
                <w:color w:val="auto"/>
              </w:rPr>
              <w:t>11,864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Share Consolidation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shareholders approved as an ordinary resolution, that (i) a share consolidation of the Company’s issued and unissued Class A ordinary shares and Class B ordinary shares, at a ratio of not less than 1-for-5 and not more than 1-for-100 (the “Range”), with the final ratio to be set at a whole number within the Range to be determined by the Board in its sole discretion (the “Share Consolidation”), and the Board be authorized to implement such Share Consolidation at its sole discretion at any time prior to the three-year anniversary of the Extraordinary Meeting; and (ii) in respect of any and all fractional entitlements to the issued consolidated shares resulting from the Share Consolidation, if so determined by the Board in its sole discretion, the directors be and are hereby authorized to settle as they consider expedient any difficulty which arises in relation to the Share Consolidation, including but without prejudice to the generality of the foregoing capitalizing all or any part of any amount for the time being standing to the credit of any reserve or fund of the Company (including its share premium account and profit and loss account) whether or not the same is available for distribution and applying such sum in paying up unissued ordinary shares to be issued to shareholders of the Company to round up any fractions of ordinary shares issued to or registered in the name of such shareholders of the Company following or as a result of the Share Consolidation, and the Board be and is hereby authorized to do all other acts and things as the Board considers necessary or desirable for the purposes of the transactions contemplated by or giving effect to and implementing the Share Consolidation, including determining the final ratio and the effective date of Share Consolidation and instructing the registered office provider or transfer agent of the Company to complete the necessary corporate record(s) and make necessary filing(s) to reflect the Share Consolidation.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For</w:t>
            </w:r>
          </w:p>
        </w:tc>
        <w:tc>
          <w:tcPr>
            <w:tcW w:w="38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16"/>
        </w:trPr>
        <w:tc>
          <w:tcPr>
            <w:tcW w:w="3580" w:type="dxa"/>
            <w:vAlign w:val="bottom"/>
            <w:tcBorders>
              <w:top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2,304,062</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203,088</w:t>
            </w:r>
          </w:p>
        </w:tc>
        <w:tc>
          <w:tcPr>
            <w:tcW w:w="24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9,213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Fifth Amended Memorandum and Articles of Association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shareholders approved, as a special resolution and subject to Resolution 4 becoming effective, the amendment and restatement of the Fourth Amended M&amp;A currently in effect by the deletion of the Fourth Amended M&amp;A in its entirety and the substitution in its place of the fifth amended and restated memorandum and articles of association of the Company (the “Fifth Amended M&amp;A”), in the form annexed hereto.</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For</w:t>
            </w:r>
          </w:p>
        </w:tc>
        <w:tc>
          <w:tcPr>
            <w:tcW w:w="38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16"/>
        </w:trPr>
        <w:tc>
          <w:tcPr>
            <w:tcW w:w="3580" w:type="dxa"/>
            <w:vAlign w:val="bottom"/>
            <w:tcBorders>
              <w:top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2,305,003</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196,659</w:t>
            </w:r>
          </w:p>
        </w:tc>
        <w:tc>
          <w:tcPr>
            <w:tcW w:w="24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14,701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Share Issuance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shareholders approved, as an ordinary resolution and subject to the Resolution 1 and 2 becoming effective, (i) the issuance and allotment by the Company of 500,000 class B ordinary shares of a nominal or par value of US$0.0001 each in the share capital of the Company to Qirui Dou for an aggregate consideration of US$500,000.00 (the “Share Issuance”), credited as fully paid, be and is hereby approved; (ii) any director of the Company or officer of the Company be and is hereby authorized to do all such acts and things and execute all such documents as such director of the Company or officer of the Company considers necessary or desirable to give effect to the Share Issuance; and (iii) the Company’s registered office provider, transfer agent, share registrar or any other share agent of the Company be and is hereby authorized and instructed to update the register of members and/or share register of the Company and any other corporate record(s) of the Company as necessary to reflect the Share Issuance.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5"/>
              </w:rPr>
              <w:t>For</w:t>
            </w:r>
          </w:p>
        </w:tc>
        <w:tc>
          <w:tcPr>
            <w:tcW w:w="382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Abstain</w:t>
            </w:r>
          </w:p>
        </w:tc>
      </w:tr>
      <w:tr>
        <w:trPr>
          <w:trHeight w:val="216"/>
        </w:trPr>
        <w:tc>
          <w:tcPr>
            <w:tcW w:w="3580" w:type="dxa"/>
            <w:vAlign w:val="bottom"/>
            <w:tcBorders>
              <w:top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rPr>
              <w:t>2,305,479</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197,561</w:t>
            </w:r>
          </w:p>
        </w:tc>
        <w:tc>
          <w:tcPr>
            <w:tcW w:w="24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13,323</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10, 2026, the Company issued a press release entitled “Yueda Digital Holding Announces Solon Initiative -- Bets on the Enterprise Governance in AI-Agent Finance.” A copy of the press release is furnished herewith as Exhibit 99.1.</w:t>
      </w:r>
    </w:p>
    <w:p>
      <w:pPr>
        <w:spacing w:after="0" w:line="162" w:lineRule="exact"/>
        <w:rPr>
          <w:sz w:val="20"/>
          <w:szCs w:val="20"/>
          <w:color w:val="auto"/>
        </w:rPr>
      </w:pPr>
    </w:p>
    <w:p>
      <w:pPr>
        <w:jc w:val="both"/>
        <w:ind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report on Form 6-K is hereby incorporated by reference into the registration statements on </w:t>
      </w:r>
      <w:hyperlink r:id="rId13">
        <w:r>
          <w:rPr>
            <w:rFonts w:ascii="Times New Roman" w:cs="Times New Roman" w:eastAsia="Times New Roman" w:hAnsi="Times New Roman"/>
            <w:sz w:val="18"/>
            <w:szCs w:val="18"/>
            <w:u w:val="single" w:color="auto"/>
            <w:color w:val="0000EE"/>
          </w:rPr>
          <w:t>Form F-3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333-279318) to the extent not superseded by documents or reports subsequently filed.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7620" w:type="dxa"/>
            <w:vAlign w:val="bottom"/>
          </w:tcPr>
          <w:p>
            <w:pPr>
              <w:jc w:val="center"/>
              <w:ind w:right="353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80" w:type="dxa"/>
            <w:vAlign w:val="bottom"/>
          </w:tcPr>
          <w:p>
            <w:pPr>
              <w:spacing w:after="0"/>
              <w:rPr>
                <w:sz w:val="24"/>
                <w:szCs w:val="24"/>
                <w:color w:val="auto"/>
              </w:rPr>
            </w:pPr>
          </w:p>
        </w:tc>
        <w:tc>
          <w:tcPr>
            <w:tcW w:w="7620" w:type="dxa"/>
            <w:vAlign w:val="bottom"/>
          </w:tcPr>
          <w:p>
            <w:pPr>
              <w:ind w:left="2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80" w:type="dxa"/>
            <w:vAlign w:val="bottom"/>
            <w:tcBorders>
              <w:top w:val="single" w:sz="8" w:color="auto"/>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 dated June 10, 2026</w:t>
            </w:r>
          </w:p>
        </w:tc>
        <w:tc>
          <w:tcPr>
            <w:tcW w:w="762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2"/>
          </w:tcPr>
          <w:p>
            <w:pPr>
              <w:jc w:val="right"/>
              <w:ind w:right="551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3260"/>
              <w:spacing w:after="0"/>
              <w:rPr>
                <w:sz w:val="20"/>
                <w:szCs w:val="20"/>
                <w:color w:val="auto"/>
              </w:rPr>
            </w:pPr>
            <w:r>
              <w:rPr>
                <w:rFonts w:ascii="Times New Roman" w:cs="Times New Roman" w:eastAsia="Times New Roman" w:hAnsi="Times New Roman"/>
                <w:sz w:val="18"/>
                <w:szCs w:val="18"/>
                <w:b w:val="1"/>
                <w:bCs w:val="1"/>
                <w:color w:val="auto"/>
              </w:rPr>
              <w:t>YUEDA DIGITAL HOLDING</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2026</w:t>
            </w: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Oirui Dou</w:t>
            </w:r>
          </w:p>
        </w:tc>
      </w:tr>
      <w:tr>
        <w:trPr>
          <w:trHeight w:val="198"/>
        </w:trPr>
        <w:tc>
          <w:tcPr>
            <w:tcW w:w="3500" w:type="dxa"/>
            <w:vAlign w:val="bottom"/>
          </w:tcPr>
          <w:p>
            <w:pPr>
              <w:spacing w:after="0"/>
              <w:rPr>
                <w:sz w:val="17"/>
                <w:szCs w:val="17"/>
                <w:color w:val="auto"/>
              </w:rPr>
            </w:pPr>
          </w:p>
        </w:tc>
        <w:tc>
          <w:tcPr>
            <w:tcW w:w="3820" w:type="dxa"/>
            <w:vAlign w:val="bottom"/>
          </w:tcPr>
          <w:p>
            <w:pPr>
              <w:ind w:left="32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Qirui Dou</w:t>
            </w:r>
          </w:p>
        </w:tc>
      </w:tr>
      <w:tr>
        <w:trPr>
          <w:trHeight w:val="234"/>
        </w:trPr>
        <w:tc>
          <w:tcPr>
            <w:tcW w:w="3500" w:type="dxa"/>
            <w:vAlign w:val="bottom"/>
          </w:tcPr>
          <w:p>
            <w:pPr>
              <w:spacing w:after="0"/>
              <w:rPr>
                <w:sz w:val="20"/>
                <w:szCs w:val="20"/>
                <w:color w:val="auto"/>
              </w:rPr>
            </w:pP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5"/>
        </w:trPr>
        <w:tc>
          <w:tcPr>
            <w:tcW w:w="35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YUEDA DIGITAL HOLDING (NASDAQ: YDKG) — PRESS RELEASE</w:t>
      </w:r>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Yueda Digital Holding Announces Solon Initiative — Bets on the Enterprise Governance in AI-Agent Finance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Targets the enterprise governance layer between autonomous AI agents and the institutional stablecoin payment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NEW YORK — June 10, 2026 /PRNewswire/ </w:t>
      </w:r>
      <w:r>
        <w:rPr>
          <w:rFonts w:ascii="Times New Roman" w:cs="Times New Roman" w:eastAsia="Times New Roman" w:hAnsi="Times New Roman"/>
          <w:sz w:val="18"/>
          <w:szCs w:val="18"/>
          <w:color w:val="auto"/>
        </w:rPr>
        <w:t>— Yueda Digital Holding ("</w:t>
      </w:r>
      <w:r>
        <w:rPr>
          <w:rFonts w:ascii="Times New Roman" w:cs="Times New Roman" w:eastAsia="Times New Roman" w:hAnsi="Times New Roman"/>
          <w:sz w:val="18"/>
          <w:szCs w:val="18"/>
          <w:b w:val="1"/>
          <w:bCs w:val="1"/>
          <w:color w:val="auto"/>
        </w:rPr>
        <w:t>YDKG</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(NASDAQ: YDKG) today announced</w:t>
      </w:r>
      <w:r>
        <w:rPr>
          <w:rFonts w:ascii="Times New Roman" w:cs="Times New Roman" w:eastAsia="Times New Roman" w:hAnsi="Times New Roman"/>
          <w:sz w:val="18"/>
          <w:szCs w:val="18"/>
          <w:b w:val="1"/>
          <w:bCs w:val="1"/>
          <w:color w:val="auto"/>
        </w:rPr>
        <w:t xml:space="preserve"> Solon </w:t>
      </w:r>
      <w:r>
        <w:rPr>
          <w:rFonts w:ascii="Times New Roman" w:cs="Times New Roman" w:eastAsia="Times New Roman" w:hAnsi="Times New Roman"/>
          <w:sz w:val="18"/>
          <w:szCs w:val="18"/>
          <w:color w:val="auto"/>
        </w:rPr>
        <w:t>(https://solon-site.com), the Company's strategic initiative to build a non-custodial control plane for autonomous AI agents that originate on-chain payments. Solon is designed to occupy what the Company believes is the most underdeveloped — and most defensible — layer in the emerging architecture of agent-driven finance: the policy, approval, and audit infrastructure between AI-agent reasoning and the stablecoin payment rails now reaching enterprise scale.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Strategic Convergence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Two secular shifts are arriving at institutional readiness simultaneously in 2026: autonomous AI agents capable of executing multi-step economic decisions, and stablecoin payment rails capable of settling enterprise transactions at internet speed. Their intersection — agent-originated on-chain payments — is a new category that legacy treasury and compliance systems were not designed to govern. While the protocol layer (including emerging standards such as the x402 payment protocol) and the payment-rail layer are being aggressively built by others including Coinbase, Stripe, and Fireblocks, the Company believes the enterprise governance layer — the policy engine, approval workflow, and audit archive that finance, risk, and compliance teams require before authorising agents to move corporate funds — remains structurally underdeveloped. Solon is engineered to fill that gap.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Architectural Moats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Solon is built on four principles:</w:t>
      </w:r>
    </w:p>
    <w:p>
      <w:pPr>
        <w:spacing w:after="0" w:line="221"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Non-custodial by design. </w:t>
      </w:r>
      <w:r>
        <w:rPr>
          <w:rFonts w:ascii="Times New Roman" w:cs="Times New Roman" w:eastAsia="Times New Roman" w:hAnsi="Times New Roman"/>
          <w:sz w:val="18"/>
          <w:szCs w:val="18"/>
          <w:color w:val="auto"/>
        </w:rPr>
        <w:t>Solon never holds complete signing authority; it provides a deciding signature in a threshold-signature scheme.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Policy as code, archived as evidence. </w:t>
      </w:r>
      <w:r>
        <w:rPr>
          <w:rFonts w:ascii="Times New Roman" w:cs="Times New Roman" w:eastAsia="Times New Roman" w:hAnsi="Times New Roman"/>
          <w:sz w:val="18"/>
          <w:szCs w:val="18"/>
          <w:color w:val="auto"/>
        </w:rPr>
        <w:t>Authorisation policies are versioned data, archived verbatim and quoted in audit evidence.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Fail-closed. </w:t>
      </w:r>
      <w:r>
        <w:rPr>
          <w:rFonts w:ascii="Times New Roman" w:cs="Times New Roman" w:eastAsia="Times New Roman" w:hAnsi="Times New Roman"/>
          <w:sz w:val="18"/>
          <w:szCs w:val="18"/>
          <w:color w:val="auto"/>
        </w:rPr>
        <w:t>Any uncertainty — unavailability, ambiguous policy, timeout — results in a refusal to authorise, never default-allow.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Open at the edges. </w:t>
      </w:r>
      <w:r>
        <w:rPr>
          <w:rFonts w:ascii="Times New Roman" w:cs="Times New Roman" w:eastAsia="Times New Roman" w:hAnsi="Times New Roman"/>
          <w:sz w:val="18"/>
          <w:szCs w:val="18"/>
          <w:color w:val="auto"/>
        </w:rPr>
        <w:t>Solon interoperates with existing wallets, payment protocols, and treasury systems rather than replacing them.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Significance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the market for enterprise AI-agent governance is structurally a trust market rather than a feature market — one in which leadership is determined by the depth of architectural commitments to non-custody, auditability, and fail-closed defaults. Such commitments are difficult to retrofit, which the Company believes makes them durable moats. The Company expects the 2026–2027 window to be the period during which enterprise governance standards for agent-originated payments are effectively set.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YUEDA DIGITAL HOLDING (NASDAQ: YDKG) — PRESS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"Solon inverts the default of most agent infrastructure: an agent without an explicit, current policy authorisation cannot move money," said Qirui Dou, Chief Executive Officer of Yueda Digital Holding. "We believe this architectural inversion — making safety the default and capability the exception — is the foundation on which enterprise adoption will be built."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Yueda Digital Holding (formerly known as AirNet Technology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YDKG is a Web3 and digital-economy company with a focus on the long-term accumulation of mainstream cryptocurrencies, whether acquired through treasury allocations, strategic investments, or the proceeds of capital transactions. Its principal business activities include: (i) active treasury management of mainstream digital assets; (ii) exploration of compliant, risk-managed yield opportunities, such as staking, on-chain liquidity provision, and other conservative market activities (where permitted); (iii) selective investments and partnerships in Web3 infrastructure and applications; and (iv) advisory services for enterprises entering the digital-asset economy. YDKG aims to compound long-term value while supporting the growth of open blockchain networks.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as defined by the Private Securities Litigation Reform Act of 1995. Forward-looking statements include statements concerning plans, objectives, goals, strategies, future events or performance, and underlying assumptions and other statements that are other than statements of historical facts. When the Company uses words such as "may," "will," "intend," "should," "believe," "expect," "anticipate," "project," "estimate" or similar expressions that do not relate solely to historical matters, it is making forward-looking statements. Forward-looking statements are not guarantee of future performance and involve risks and uncertainties that may cause the actual results to differ materially from the Company's expectations discussed in the forward-looking statements. These statements are subject to uncertainties and risks including, but not limited to, the following: the Company's goals and strategies; the Company's future business development; changes in technology; economic conditions; reputation and brand; the impact of competition and pricing; government regulations; changes in applicable laws or regulations; as well as those risks and uncertainties discussed from time to time in other reports and other public filings with the Securities and Exchange Commission by the Company. For these reasons, among others, investors are cautioned not to place undue reliance upon any forward-looking statements in this press release. Additional factors are discussed in the Company's filings with the SEC, which are available for review at www.sec.gov. The Company undertakes no obligation to publicly revise these forward-looking statements to reflect events or circumstances that arise after the date hereof unless required by applicable laws, regulations or rules.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3" Type="http://schemas.openxmlformats.org/officeDocument/2006/relationships/hyperlink" Target="http://www.sec.gov/Archives/edgar/data/1413745/000110465924059883/tm2413829-1_f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2026-06-17T15:32:47Z</dcterms:created>
  <dcterms:modified xsi:type="dcterms:W3CDTF">2026-06-17T15:32:47Z</dcterms:modified>
</cp:coreProperties>
</file>